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92" w:rsidRDefault="00A86592">
      <w:pPr>
        <w:pStyle w:val="1"/>
        <w:rPr>
          <w:b/>
          <w:sz w:val="28"/>
          <w:szCs w:val="28"/>
        </w:rPr>
      </w:pPr>
    </w:p>
    <w:p w:rsidR="00A86592" w:rsidRDefault="00FE4A46">
      <w:pPr>
        <w:pStyle w:val="1"/>
        <w:jc w:val="center"/>
        <w:rPr>
          <w:b/>
          <w:sz w:val="28"/>
          <w:szCs w:val="28"/>
        </w:rPr>
      </w:pPr>
      <w:r>
        <w:rPr>
          <w:b/>
          <w:sz w:val="28"/>
          <w:szCs w:val="28"/>
        </w:rPr>
        <w:t>УСЛОВИЯ</w:t>
      </w:r>
    </w:p>
    <w:p w:rsidR="00A86592" w:rsidRDefault="00FE4A46">
      <w:pPr>
        <w:pStyle w:val="1"/>
        <w:jc w:val="center"/>
        <w:rPr>
          <w:b/>
        </w:rPr>
      </w:pPr>
      <w:r>
        <w:rPr>
          <w:b/>
          <w:sz w:val="28"/>
          <w:szCs w:val="28"/>
        </w:rPr>
        <w:t xml:space="preserve"> хранения и помещения товаров и транспортных средств на СВХ</w:t>
      </w:r>
    </w:p>
    <w:p w:rsidR="00A86592" w:rsidRDefault="00A86592">
      <w:pPr>
        <w:jc w:val="center"/>
        <w:rPr>
          <w:sz w:val="28"/>
          <w:szCs w:val="28"/>
        </w:rPr>
      </w:pPr>
    </w:p>
    <w:p w:rsidR="00A86592" w:rsidRDefault="00FE4A46">
      <w:pPr>
        <w:jc w:val="both"/>
        <w:rPr>
          <w:sz w:val="28"/>
          <w:szCs w:val="28"/>
        </w:rPr>
      </w:pPr>
      <w:r>
        <w:rPr>
          <w:sz w:val="28"/>
          <w:szCs w:val="28"/>
        </w:rPr>
        <w:t xml:space="preserve">1. Исполнитель — </w:t>
      </w:r>
      <w:r w:rsidRPr="00BE7362">
        <w:rPr>
          <w:b/>
          <w:sz w:val="28"/>
          <w:szCs w:val="28"/>
        </w:rPr>
        <w:t>ООО «ДАЛК»</w:t>
      </w:r>
      <w:r>
        <w:rPr>
          <w:sz w:val="28"/>
          <w:szCs w:val="28"/>
        </w:rPr>
        <w:t xml:space="preserve">, являющееся, в том числе владельцем склада временного хранения, действующее на основании Свидетельства о включении в Реестр владельцев складов временного хранения </w:t>
      </w:r>
      <w:r w:rsidRPr="00BE7362">
        <w:rPr>
          <w:sz w:val="28"/>
          <w:szCs w:val="28"/>
        </w:rPr>
        <w:t>от 20.02.2023 г. № 10108/151210/10022/3,</w:t>
      </w:r>
      <w:r>
        <w:rPr>
          <w:sz w:val="28"/>
          <w:szCs w:val="28"/>
        </w:rPr>
        <w:t xml:space="preserve"> выданного Курской таможней.</w:t>
      </w:r>
    </w:p>
    <w:p w:rsidR="00A86592" w:rsidRDefault="00FE4A46">
      <w:pPr>
        <w:jc w:val="both"/>
        <w:rPr>
          <w:sz w:val="28"/>
          <w:szCs w:val="28"/>
        </w:rPr>
      </w:pPr>
      <w:r>
        <w:rPr>
          <w:sz w:val="28"/>
          <w:szCs w:val="28"/>
        </w:rPr>
        <w:t>2. Заказчик — физическое лицо, обратившееся к Исполнителю для получения услуг, поименованных в настоящих Условиях и приложениях к нему.</w:t>
      </w:r>
    </w:p>
    <w:p w:rsidR="00BE7362" w:rsidRDefault="00FE4A46">
      <w:pPr>
        <w:jc w:val="both"/>
        <w:rPr>
          <w:sz w:val="28"/>
          <w:szCs w:val="28"/>
        </w:rPr>
      </w:pPr>
      <w:r>
        <w:rPr>
          <w:sz w:val="28"/>
          <w:szCs w:val="28"/>
        </w:rPr>
        <w:t xml:space="preserve">3. Настоящие Условия являются публичной офертой, адресованное неограниченному кругу физических лиц. </w:t>
      </w:r>
    </w:p>
    <w:p w:rsidR="00BE7362" w:rsidRDefault="00FE4A46">
      <w:pPr>
        <w:jc w:val="both"/>
        <w:rPr>
          <w:sz w:val="28"/>
          <w:szCs w:val="28"/>
        </w:rPr>
      </w:pPr>
      <w:r>
        <w:rPr>
          <w:sz w:val="28"/>
          <w:szCs w:val="28"/>
        </w:rPr>
        <w:t xml:space="preserve">Акцептом оферты является любое действие, направленное на </w:t>
      </w:r>
      <w:r w:rsidR="00BE7362" w:rsidRPr="008B2A7C">
        <w:rPr>
          <w:b/>
          <w:i/>
          <w:sz w:val="28"/>
          <w:szCs w:val="28"/>
          <w:u w:val="single"/>
        </w:rPr>
        <w:t>размещение и хранение транспортных средств</w:t>
      </w:r>
      <w:r>
        <w:rPr>
          <w:sz w:val="28"/>
          <w:szCs w:val="28"/>
        </w:rPr>
        <w:t xml:space="preserve">, включая, но не ограничиваясь, оплату тарифа, фактическое размещение вещей, товаров и транспортных средств, находящихся под таможенным контролем и перемещаемых через таможенную границу Евразийского экономического союза Заказчиком, на складе временного хранения (Далее – СВХ), расположенного по адресу: </w:t>
      </w:r>
      <w:r w:rsidRPr="00BE7362">
        <w:rPr>
          <w:sz w:val="28"/>
          <w:szCs w:val="28"/>
          <w:u w:val="single"/>
        </w:rPr>
        <w:t>302038, Орловская область, Орловский муниципальный округ, ул. Раздольная, д. 105.</w:t>
      </w:r>
      <w:r>
        <w:rPr>
          <w:sz w:val="28"/>
          <w:szCs w:val="28"/>
        </w:rPr>
        <w:t xml:space="preserve"> </w:t>
      </w:r>
    </w:p>
    <w:p w:rsidR="00A86592" w:rsidRDefault="00FE4A46">
      <w:pPr>
        <w:jc w:val="both"/>
        <w:rPr>
          <w:sz w:val="28"/>
          <w:szCs w:val="28"/>
        </w:rPr>
      </w:pPr>
      <w:r>
        <w:rPr>
          <w:sz w:val="28"/>
          <w:szCs w:val="28"/>
        </w:rPr>
        <w:t>Акцепт настоящей оферты явл</w:t>
      </w:r>
      <w:bookmarkStart w:id="0" w:name="_GoBack"/>
      <w:bookmarkEnd w:id="0"/>
      <w:r>
        <w:rPr>
          <w:sz w:val="28"/>
          <w:szCs w:val="28"/>
        </w:rPr>
        <w:t xml:space="preserve">яется согласием Заказчика на все положения, изложенные в настоящих Условиях. </w:t>
      </w:r>
    </w:p>
    <w:p w:rsidR="00A86592" w:rsidRDefault="00FE4A46">
      <w:pPr>
        <w:jc w:val="both"/>
        <w:rPr>
          <w:sz w:val="28"/>
          <w:szCs w:val="28"/>
        </w:rPr>
      </w:pPr>
      <w:r>
        <w:rPr>
          <w:sz w:val="28"/>
          <w:szCs w:val="28"/>
        </w:rPr>
        <w:t>4. Исполнитель также совершает иные операции с товарами Заказчика, а Заказчик уплачивает Исполнителю вознаграждение за оказанные услуги, а также оплачивает совершение последним иных операций с товарами в порядке и на условиях, установленных настоящими Условиями. Размер вознаграждения за хранение, а также перечень и стоимость операций, совершаемых с товарами Заказчика, определены в прейскуранте (приложение № 1 к настоящим Условиям).</w:t>
      </w:r>
    </w:p>
    <w:p w:rsidR="00A86592" w:rsidRDefault="00FE4A46">
      <w:pPr>
        <w:jc w:val="both"/>
        <w:rPr>
          <w:sz w:val="28"/>
          <w:szCs w:val="28"/>
        </w:rPr>
      </w:pPr>
      <w:r>
        <w:rPr>
          <w:sz w:val="28"/>
          <w:szCs w:val="28"/>
        </w:rPr>
        <w:t xml:space="preserve">5. Исполнитель обязан: </w:t>
      </w:r>
    </w:p>
    <w:p w:rsidR="00A86592" w:rsidRDefault="00FE4A46">
      <w:pPr>
        <w:autoSpaceDE w:val="0"/>
        <w:jc w:val="both"/>
        <w:rPr>
          <w:sz w:val="28"/>
          <w:szCs w:val="28"/>
        </w:rPr>
      </w:pPr>
      <w:r>
        <w:rPr>
          <w:sz w:val="28"/>
          <w:szCs w:val="28"/>
        </w:rPr>
        <w:t>5.1. соблюдать условия и требования, установленные нормами права Евразийского экономического союза и законодательством Российской Федерации о таможенном регулировании в отношении хранения товаров, находящихся под таможенным контролем;</w:t>
      </w:r>
    </w:p>
    <w:p w:rsidR="00A86592" w:rsidRDefault="00FE4A46">
      <w:pPr>
        <w:autoSpaceDE w:val="0"/>
        <w:jc w:val="both"/>
        <w:rPr>
          <w:sz w:val="28"/>
          <w:szCs w:val="28"/>
        </w:rPr>
      </w:pPr>
      <w:r>
        <w:rPr>
          <w:sz w:val="28"/>
          <w:szCs w:val="28"/>
        </w:rPr>
        <w:t>5.2. вести учет хранимых товаров, находящихся под таможенным контролем, в порядке, установленном нормами права Евразийского экономического союза и законодательством Российской Федерации о таможенном регулировании;</w:t>
      </w:r>
    </w:p>
    <w:p w:rsidR="00A86592" w:rsidRDefault="00FE4A46">
      <w:pPr>
        <w:autoSpaceDE w:val="0"/>
        <w:jc w:val="both"/>
        <w:rPr>
          <w:sz w:val="28"/>
          <w:szCs w:val="28"/>
        </w:rPr>
      </w:pPr>
      <w:r>
        <w:rPr>
          <w:sz w:val="28"/>
          <w:szCs w:val="28"/>
        </w:rPr>
        <w:t>5.3. обеспечивать сохранность товаров, находящихся на складе временного хранения, и транспортных средств, находящихся на прилегающей к нему территории, являющейся зоной таможенного контроля, и на территории прилегающей к зоне таможенного контроля;</w:t>
      </w:r>
    </w:p>
    <w:p w:rsidR="00A86592" w:rsidRDefault="00FE4A46">
      <w:pPr>
        <w:autoSpaceDE w:val="0"/>
        <w:jc w:val="both"/>
        <w:rPr>
          <w:sz w:val="28"/>
          <w:szCs w:val="28"/>
        </w:rPr>
      </w:pPr>
      <w:r>
        <w:rPr>
          <w:sz w:val="28"/>
          <w:szCs w:val="28"/>
        </w:rPr>
        <w:t>5.4. обеспечивать возможность круглосуточного помещения товаров и транспортных средств на складе временного хранения либо на прилегающей к складу территории, являющейся зоной таможенного контроля;</w:t>
      </w:r>
    </w:p>
    <w:p w:rsidR="00A86592" w:rsidRDefault="00FE4A46">
      <w:pPr>
        <w:autoSpaceDE w:val="0"/>
        <w:jc w:val="both"/>
        <w:rPr>
          <w:sz w:val="28"/>
          <w:szCs w:val="28"/>
        </w:rPr>
      </w:pPr>
      <w:r>
        <w:rPr>
          <w:sz w:val="28"/>
          <w:szCs w:val="28"/>
        </w:rPr>
        <w:t>5.5. обеспечивать невозможность доступа посторонних лиц к товарам и транспортным средствам, находящимся на складе временного хранения или прилегающей к нему территории, без разрешения таможенного органа;</w:t>
      </w:r>
    </w:p>
    <w:p w:rsidR="00A86592" w:rsidRDefault="00FE4A46">
      <w:pPr>
        <w:jc w:val="both"/>
        <w:rPr>
          <w:sz w:val="28"/>
          <w:szCs w:val="28"/>
        </w:rPr>
      </w:pPr>
      <w:r>
        <w:rPr>
          <w:sz w:val="28"/>
          <w:szCs w:val="28"/>
        </w:rPr>
        <w:t>5.6. оказывать содействие должностным лицам таможенных органов в проведении досмотра (осмотра) товаров Заказчика и транспортных средств, доставивших данные товары;</w:t>
      </w:r>
    </w:p>
    <w:p w:rsidR="00A86592" w:rsidRDefault="00FE4A46">
      <w:pPr>
        <w:jc w:val="both"/>
        <w:rPr>
          <w:sz w:val="28"/>
          <w:szCs w:val="28"/>
        </w:rPr>
      </w:pPr>
      <w:r>
        <w:rPr>
          <w:sz w:val="28"/>
          <w:szCs w:val="28"/>
        </w:rPr>
        <w:lastRenderedPageBreak/>
        <w:t>5.7. осуществлять хранение товаров Заказчика с соблюдением условий хранения, которые требуются для сохранности товаров, исходя из их свойств;</w:t>
      </w:r>
    </w:p>
    <w:p w:rsidR="00A86592" w:rsidRDefault="00FE4A46">
      <w:pPr>
        <w:jc w:val="both"/>
        <w:rPr>
          <w:sz w:val="28"/>
          <w:szCs w:val="28"/>
        </w:rPr>
      </w:pPr>
      <w:r>
        <w:rPr>
          <w:sz w:val="28"/>
          <w:szCs w:val="28"/>
        </w:rPr>
        <w:t>5.8. с целью недопущения возникновения у Заказчика необоснованных расходов, совершать с товарами только те операции, которые необходимы для выполнения таможенной процедуры Временного хранения товаров и помещения их под избранную таможенную процедуру, за исключением случаев, когда такие операции совершаются по просьбе Заказчика, либо по требованию таможенных органов;</w:t>
      </w:r>
    </w:p>
    <w:p w:rsidR="00A86592" w:rsidRDefault="00FE4A46">
      <w:pPr>
        <w:jc w:val="both"/>
        <w:rPr>
          <w:sz w:val="28"/>
          <w:szCs w:val="28"/>
        </w:rPr>
      </w:pPr>
      <w:r>
        <w:rPr>
          <w:sz w:val="28"/>
          <w:szCs w:val="28"/>
        </w:rPr>
        <w:t>6. Заказчик обязан:</w:t>
      </w:r>
    </w:p>
    <w:p w:rsidR="00A86592" w:rsidRDefault="00FE4A46">
      <w:pPr>
        <w:jc w:val="both"/>
        <w:rPr>
          <w:sz w:val="28"/>
          <w:szCs w:val="28"/>
        </w:rPr>
      </w:pPr>
      <w:r>
        <w:rPr>
          <w:sz w:val="28"/>
          <w:szCs w:val="28"/>
        </w:rPr>
        <w:t>6.1. извещать Исполнителя по факсу о произведенных в его адрес автомобильных или железнодорожных отправках не позднее дня, следующего за днем отправки с 8.30 до 17.30 по московскому времени;</w:t>
      </w:r>
    </w:p>
    <w:p w:rsidR="00A86592" w:rsidRDefault="00FE4A46">
      <w:pPr>
        <w:jc w:val="both"/>
        <w:rPr>
          <w:sz w:val="28"/>
          <w:szCs w:val="28"/>
        </w:rPr>
      </w:pPr>
      <w:r>
        <w:rPr>
          <w:sz w:val="28"/>
          <w:szCs w:val="28"/>
        </w:rPr>
        <w:t>6.2. обеспечивать своевременное прибытие на склад временного хранения своего представителя для участия в приемке груза по количеству и качеству, а также совершения с грузом иных операций, необходимых для выполнения таможенной процедуры Временного хранения товаров и помещения их под избранную таможенную процедуру;</w:t>
      </w:r>
    </w:p>
    <w:p w:rsidR="00A86592" w:rsidRDefault="00FE4A46">
      <w:pPr>
        <w:jc w:val="both"/>
        <w:rPr>
          <w:sz w:val="28"/>
          <w:szCs w:val="28"/>
        </w:rPr>
      </w:pPr>
      <w:r>
        <w:rPr>
          <w:sz w:val="28"/>
          <w:szCs w:val="28"/>
        </w:rPr>
        <w:t>6.3. обеспечивать при помещении товаров на склад временного хранения и в ЗТК представление действительных документов, предусмотренных нормами права Евразийского экономического союза и законодательством Российской Федерации о таможенном регулировании, относящихся к данным товарам и содержащих достоверную информацию о них, а также информацию о свойствах товара (для правильного выбора режима хранения);</w:t>
      </w:r>
    </w:p>
    <w:p w:rsidR="00A86592" w:rsidRDefault="00FE4A46">
      <w:pPr>
        <w:jc w:val="both"/>
        <w:rPr>
          <w:sz w:val="28"/>
          <w:szCs w:val="28"/>
        </w:rPr>
      </w:pPr>
      <w:r>
        <w:rPr>
          <w:sz w:val="28"/>
          <w:szCs w:val="28"/>
        </w:rPr>
        <w:t>6.4. при оформлении экспортных грузов: обеспечить вывоз товаров за пределы зоны таможенного контроля (СВХ) в течение трех часов после окончания таможенного декларирования и получения документов со штампом таможенного органа «Выпуск разрешен»;</w:t>
      </w:r>
    </w:p>
    <w:p w:rsidR="00A86592" w:rsidRDefault="00FE4A46">
      <w:pPr>
        <w:jc w:val="both"/>
        <w:rPr>
          <w:sz w:val="28"/>
          <w:szCs w:val="28"/>
        </w:rPr>
      </w:pPr>
      <w:r>
        <w:rPr>
          <w:sz w:val="28"/>
          <w:szCs w:val="28"/>
        </w:rPr>
        <w:t>6.5. уплачивать Исполнителю вознаграждение за хранение товаров и производить оплату иных операций с товарами в порядке и на условиях, установленных настоящим договором;</w:t>
      </w:r>
    </w:p>
    <w:p w:rsidR="00A86592" w:rsidRDefault="00FE4A46">
      <w:pPr>
        <w:jc w:val="both"/>
        <w:rPr>
          <w:sz w:val="28"/>
          <w:szCs w:val="28"/>
        </w:rPr>
      </w:pPr>
      <w:r>
        <w:rPr>
          <w:sz w:val="28"/>
          <w:szCs w:val="28"/>
        </w:rPr>
        <w:t>6.6. Заказчик обязан вывести товар в течение суток после принятия таможенным органом решения о выпуске товара.</w:t>
      </w:r>
    </w:p>
    <w:p w:rsidR="00A86592" w:rsidRDefault="00FE4A46">
      <w:pPr>
        <w:jc w:val="both"/>
        <w:rPr>
          <w:sz w:val="28"/>
          <w:szCs w:val="28"/>
        </w:rPr>
      </w:pPr>
      <w:r>
        <w:rPr>
          <w:sz w:val="28"/>
          <w:szCs w:val="28"/>
        </w:rPr>
        <w:t>7. Представители Заказчика и Исполнителя вправе совершать с товарами, находящимися на временном хранении, операции, необходимые для обеспечения сохранности товаров, а также помещения их под избранную таможенную процедуру (в том числе осматривать и измерять товары, перемещать их в пределах склада временного хранения, осуществлять отбор проб и образцов товаров, исправлять поврежденную упаковку и т.д.). В случае если для совершения операций, указанных в данном пункте, требуется разрешение таможенного органа, такие операции могут совершаться только после получения такого разрешения.</w:t>
      </w:r>
    </w:p>
    <w:p w:rsidR="00A86592" w:rsidRDefault="00FE4A46">
      <w:pPr>
        <w:jc w:val="both"/>
        <w:rPr>
          <w:sz w:val="28"/>
          <w:szCs w:val="28"/>
        </w:rPr>
      </w:pPr>
      <w:r>
        <w:rPr>
          <w:sz w:val="28"/>
          <w:szCs w:val="28"/>
        </w:rPr>
        <w:t>8. В случае, если товары Заказчика, размещенные на складе временного хранения и в ЗТК, причинят ущерб товарам третьих лиц, размещенным на данном складе, по причине того, что данные товары Заказчика являются легковоспламеняющимися, взрывоопасными или вообще опасными по своей природе, Заказчик возмещает Исполнителю расходы, возникшие у него в связи с возмещением ущерба, причиненного третьим лицам, если при помещении данных товаров на хранение он не предупредил Исполнителя об этих их свойствах.</w:t>
      </w:r>
    </w:p>
    <w:p w:rsidR="00A86592" w:rsidRDefault="00FE4A46">
      <w:pPr>
        <w:jc w:val="both"/>
        <w:rPr>
          <w:sz w:val="28"/>
          <w:szCs w:val="28"/>
        </w:rPr>
      </w:pPr>
      <w:r>
        <w:rPr>
          <w:sz w:val="28"/>
          <w:szCs w:val="28"/>
        </w:rPr>
        <w:t>9. В случае привлечения Исполнителя к административной ответственности за сообщение таможенному органу недостоверных сведений о количестве грузовых мест, об их маркировке, о наименовании, весе и (или) об объеме товаров при помещении товаров на склад временного хранения путем представления недействительных документов, документов, содержащих недостоверные сведения или относящихся к другим товарам, Заказчик возмещает Исполнителю сумму уплаченного им административного штрафа.</w:t>
      </w:r>
    </w:p>
    <w:p w:rsidR="00A86592" w:rsidRDefault="00FE4A46">
      <w:pPr>
        <w:jc w:val="both"/>
        <w:rPr>
          <w:sz w:val="28"/>
          <w:szCs w:val="28"/>
        </w:rPr>
      </w:pPr>
      <w:r>
        <w:rPr>
          <w:sz w:val="28"/>
          <w:szCs w:val="28"/>
        </w:rPr>
        <w:t>10. В случае утраты товаров или их части по вине Исполнителя, последний возмещает Заказчику причиненный ущерб в пределах документально подтвержденной таможенной стоимости товаров или их утраченной части.</w:t>
      </w:r>
    </w:p>
    <w:p w:rsidR="00A86592" w:rsidRDefault="00FE4A46">
      <w:pPr>
        <w:jc w:val="both"/>
        <w:rPr>
          <w:sz w:val="28"/>
          <w:szCs w:val="28"/>
        </w:rPr>
      </w:pPr>
      <w:r>
        <w:rPr>
          <w:sz w:val="28"/>
          <w:szCs w:val="28"/>
        </w:rPr>
        <w:t>11. В случае повреждения товаров по вине Исполнителя, последний возмещает Заказчику только реальный ущерб в порядке, предусмотренном действующим законодательством РФ. При этом в качестве цены поврежденных товаров используется их таможенная стоимость.</w:t>
      </w:r>
    </w:p>
    <w:p w:rsidR="00A86592" w:rsidRDefault="00FE4A46">
      <w:pPr>
        <w:jc w:val="both"/>
        <w:rPr>
          <w:sz w:val="28"/>
          <w:szCs w:val="28"/>
        </w:rPr>
      </w:pPr>
      <w:r>
        <w:rPr>
          <w:sz w:val="28"/>
          <w:szCs w:val="28"/>
        </w:rPr>
        <w:t xml:space="preserve">12. Стороны не несут ответственность за частичное или полное невыполнение обязательств по настоящему Договору, если невыполнение этих обязательств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w:t>
      </w:r>
    </w:p>
    <w:p w:rsidR="00A86592" w:rsidRDefault="00FE4A46">
      <w:pPr>
        <w:rPr>
          <w:sz w:val="28"/>
          <w:szCs w:val="28"/>
        </w:rPr>
      </w:pPr>
      <w:r>
        <w:rPr>
          <w:sz w:val="28"/>
          <w:szCs w:val="28"/>
        </w:rPr>
        <w:t>13. Заказчик на основании прейскуранта (приложение № 1 к настоящим Условиям) выплачивает Исполнителю вознаграждение за хранение товаров, а также оплачивает операции с товарами согласно счетам, выставляемым Исполнителем Заказчику. Оплата счетов производится Заказчиком путем 100% предоплаты.</w:t>
      </w:r>
    </w:p>
    <w:p w:rsidR="00A86592" w:rsidRDefault="00FE4A46">
      <w:pPr>
        <w:jc w:val="both"/>
        <w:rPr>
          <w:sz w:val="28"/>
          <w:szCs w:val="28"/>
        </w:rPr>
      </w:pPr>
      <w:r>
        <w:rPr>
          <w:sz w:val="28"/>
          <w:szCs w:val="28"/>
        </w:rPr>
        <w:t xml:space="preserve">14. Датой оплаты считается дата зачисления денежных средств на расчетный счет банка Исполнителя. </w:t>
      </w:r>
    </w:p>
    <w:p w:rsidR="00A86592" w:rsidRDefault="00FE4A46">
      <w:pPr>
        <w:jc w:val="both"/>
        <w:rPr>
          <w:sz w:val="28"/>
          <w:szCs w:val="28"/>
        </w:rPr>
      </w:pPr>
      <w:r>
        <w:rPr>
          <w:sz w:val="28"/>
          <w:szCs w:val="28"/>
        </w:rPr>
        <w:t>15. Размер вознаграждения за хранение и стоимость операций с товарами, указанные в приложениях к настоящим Условиям, приведены без учета налога на добавленную стоимость и иных налогов, если из текста данных приложений прямо не следует иное.</w:t>
      </w:r>
    </w:p>
    <w:p w:rsidR="00A86592" w:rsidRDefault="00FE4A46">
      <w:pPr>
        <w:jc w:val="both"/>
        <w:rPr>
          <w:sz w:val="28"/>
          <w:szCs w:val="28"/>
        </w:rPr>
      </w:pPr>
      <w:r>
        <w:rPr>
          <w:sz w:val="28"/>
          <w:szCs w:val="28"/>
        </w:rPr>
        <w:t>16. В случае совершения Исполнителем операций с товарами Заказчика по требованию таможенных органов, Заказчик оплачивает данные операции независимо от того, являются требования таможенных органов об их совершении законными или нет. Исполнитель письменно извещает Заказчика обо всех операциях, проводимых с его товарами по требованию таможенного органа.</w:t>
      </w:r>
    </w:p>
    <w:p w:rsidR="00A86592" w:rsidRDefault="00FE4A46">
      <w:pPr>
        <w:ind w:firstLine="851"/>
        <w:jc w:val="both"/>
        <w:rPr>
          <w:sz w:val="28"/>
          <w:szCs w:val="28"/>
        </w:rPr>
      </w:pPr>
      <w:r>
        <w:rPr>
          <w:sz w:val="28"/>
          <w:szCs w:val="28"/>
        </w:rPr>
        <w:t>При этом оплата производится по ценам, указанным в приложениях к настоящим Условиям, а в случае, если в указанных документах отсутствуют расценки на соответствующие услуги – по ценам, действующим в месте и во время их совершения.</w:t>
      </w:r>
    </w:p>
    <w:p w:rsidR="00A86592" w:rsidRDefault="00FE4A46">
      <w:pPr>
        <w:jc w:val="both"/>
        <w:rPr>
          <w:sz w:val="28"/>
          <w:szCs w:val="28"/>
        </w:rPr>
      </w:pPr>
      <w:r>
        <w:rPr>
          <w:bCs/>
          <w:sz w:val="28"/>
          <w:szCs w:val="28"/>
        </w:rPr>
        <w:t xml:space="preserve">17. В случае невыполнения Заказчиком п. 6.4., 6.5., 9 настоящих условий, цены за услуги, предоставляемые Исполнителем, увеличиваются на 100%. </w:t>
      </w:r>
    </w:p>
    <w:p w:rsidR="00A86592" w:rsidRDefault="00FE4A46">
      <w:pPr>
        <w:pStyle w:val="21"/>
        <w:ind w:left="0" w:firstLine="0"/>
        <w:rPr>
          <w:sz w:val="28"/>
          <w:szCs w:val="28"/>
        </w:rPr>
      </w:pPr>
      <w:r>
        <w:rPr>
          <w:bCs/>
          <w:sz w:val="28"/>
          <w:szCs w:val="28"/>
        </w:rPr>
        <w:t>18</w:t>
      </w:r>
      <w:r>
        <w:rPr>
          <w:sz w:val="28"/>
          <w:szCs w:val="28"/>
        </w:rPr>
        <w:t>. Изменения в расценках вступают в силу с 00 часов суток, следующих за датой их утверждения.</w:t>
      </w:r>
    </w:p>
    <w:p w:rsidR="00A86592" w:rsidRDefault="00FE4A46">
      <w:pPr>
        <w:jc w:val="both"/>
        <w:rPr>
          <w:sz w:val="28"/>
          <w:szCs w:val="28"/>
        </w:rPr>
      </w:pPr>
      <w:r>
        <w:rPr>
          <w:sz w:val="28"/>
          <w:szCs w:val="28"/>
        </w:rPr>
        <w:t xml:space="preserve">19. В случае не поступления денежных средств Заказчика за оказанные ему услуги на дату окончательного расчета, а равно в качестве возмещения в порядке п. 9 настоящих Условий, Исполнитель имеет право удержать до окончания расчетов товары Заказчика согласно действующему законодательству Российской Федерации (статьи 359, 360 Гражданского кодекса Российской Федерации). По истечение трехмесячного срока удержания Исполнитель вправе получить удовлетворение от продажи товара в соответствии с действующим законодательством. </w:t>
      </w:r>
    </w:p>
    <w:p w:rsidR="00A86592" w:rsidRDefault="00FE4A46">
      <w:pPr>
        <w:jc w:val="both"/>
        <w:rPr>
          <w:sz w:val="28"/>
          <w:szCs w:val="28"/>
        </w:rPr>
      </w:pPr>
      <w:r>
        <w:rPr>
          <w:sz w:val="28"/>
          <w:szCs w:val="28"/>
        </w:rPr>
        <w:t>20. По факту выполнения Исполнителем всего комплекса услуг, на подписание Заказчику предоставляется Акт об оказанных услугах/ Универсальный передаточный документ (УПД). В течение 3 (Трех) рабочих дней с даты получения Акта/ УПД Заказчик обязан подписать его и вернуть один подписанный экземпляр Исполнителю или представить письменный мотивированный отказ от подписания. По истечении указанного срока Акт/ УПД считается утвержденным по умолчанию, если от Заказчика не поступили возражения в письменной форме.</w:t>
      </w:r>
    </w:p>
    <w:p w:rsidR="00A86592" w:rsidRDefault="00FE4A46">
      <w:pPr>
        <w:jc w:val="both"/>
        <w:rPr>
          <w:sz w:val="28"/>
          <w:szCs w:val="28"/>
        </w:rPr>
      </w:pPr>
      <w:r>
        <w:rPr>
          <w:sz w:val="28"/>
          <w:szCs w:val="28"/>
        </w:rPr>
        <w:t>21. В течение 5 (Пяти) рабочих дней Исполнитель на основании подписанного Акта предоставляет Заказчику счет-фактуру/УПД, указывая стоимость, наименование услуг и дату, в соответствии с Актом об оказанных услугах/ УПД.</w:t>
      </w:r>
    </w:p>
    <w:p w:rsidR="00A86592" w:rsidRDefault="00FE4A46">
      <w:pPr>
        <w:jc w:val="both"/>
        <w:rPr>
          <w:sz w:val="28"/>
          <w:szCs w:val="28"/>
        </w:rPr>
      </w:pPr>
      <w:r>
        <w:rPr>
          <w:sz w:val="28"/>
          <w:szCs w:val="28"/>
        </w:rPr>
        <w:t>22. До предъявления иска Сторона, полагающая, что другая Сторона по настоящим Условиям не выполнила или выполнила ненадлежащим образом свои обязательства, обязана направить ей претензию в письменной форме с приложением документов, необходимых для рассмотрения претензии.</w:t>
      </w:r>
    </w:p>
    <w:p w:rsidR="00A86592" w:rsidRDefault="00FE4A46">
      <w:pPr>
        <w:ind w:firstLine="720"/>
        <w:jc w:val="both"/>
        <w:rPr>
          <w:sz w:val="28"/>
          <w:szCs w:val="28"/>
        </w:rPr>
      </w:pPr>
      <w:r>
        <w:rPr>
          <w:sz w:val="28"/>
          <w:szCs w:val="28"/>
        </w:rPr>
        <w:t>Претензия направляется способом, позволяющим в дальнейшем подтвердить дату получения данной претензии другой Стороной.</w:t>
      </w:r>
    </w:p>
    <w:p w:rsidR="00A86592" w:rsidRDefault="00FE4A46">
      <w:pPr>
        <w:jc w:val="both"/>
        <w:rPr>
          <w:sz w:val="28"/>
          <w:szCs w:val="28"/>
        </w:rPr>
      </w:pPr>
      <w:r>
        <w:rPr>
          <w:sz w:val="28"/>
          <w:szCs w:val="28"/>
        </w:rPr>
        <w:t xml:space="preserve">23. Сторона, получившая претензию, обязана ее рассмотреть в течение 30 (Тридцати) дней и уведомить другую Сторону об ее удовлетворении или отклонении полностью либо в части. В случае полного или частичного отклонения претензии Сторона, отклонившая ее, обязана мотивировать такое отклонение. </w:t>
      </w:r>
    </w:p>
    <w:p w:rsidR="00A86592" w:rsidRDefault="00FE4A46">
      <w:pPr>
        <w:jc w:val="both"/>
        <w:rPr>
          <w:sz w:val="28"/>
          <w:szCs w:val="28"/>
        </w:rPr>
      </w:pPr>
      <w:r>
        <w:rPr>
          <w:sz w:val="28"/>
          <w:szCs w:val="28"/>
        </w:rPr>
        <w:t>24. С целью урегулирования споров Стороны могут проводить переговоры и консультации, в том числе после отклонения соответствующей претензии.</w:t>
      </w:r>
    </w:p>
    <w:p w:rsidR="00A86592" w:rsidRDefault="00FE4A46">
      <w:pPr>
        <w:jc w:val="both"/>
        <w:rPr>
          <w:sz w:val="28"/>
          <w:szCs w:val="28"/>
        </w:rPr>
      </w:pPr>
      <w:r>
        <w:rPr>
          <w:sz w:val="28"/>
          <w:szCs w:val="28"/>
        </w:rPr>
        <w:t>25. В случае невозможности урегулирования споров путем переговоров или в претензионном порядке дело подлежит рассмотрению в суде в соответствии с действующим законодательством РФ.</w:t>
      </w:r>
    </w:p>
    <w:p w:rsidR="00A86592" w:rsidRDefault="00FE4A46">
      <w:pPr>
        <w:jc w:val="both"/>
        <w:rPr>
          <w:sz w:val="28"/>
          <w:szCs w:val="28"/>
        </w:rPr>
      </w:pPr>
      <w:r>
        <w:rPr>
          <w:sz w:val="28"/>
          <w:szCs w:val="28"/>
        </w:rPr>
        <w:t>26. Все изменения или дополнения к настоящим Условиям доводятся до сведения Заказчика до начала выполнения услуги и его оплаты.</w:t>
      </w:r>
    </w:p>
    <w:p w:rsidR="00A86592" w:rsidRDefault="00FE4A46">
      <w:pPr>
        <w:jc w:val="both"/>
        <w:rPr>
          <w:sz w:val="28"/>
          <w:szCs w:val="28"/>
        </w:rPr>
      </w:pPr>
      <w:r>
        <w:rPr>
          <w:sz w:val="28"/>
          <w:szCs w:val="28"/>
        </w:rPr>
        <w:t>6.3. В случае предоставления Заказчиком недействительных либо содержащих недостоверную информацию документов, Исполнитель имеет право отказать Заказчику в продолжении оказания услуг без возврата предоплаты в размере оказанных услуг. В этом случае взаимные претензии урегулируются в соответствии с действующим законодательством Российской Федерации.</w:t>
      </w:r>
    </w:p>
    <w:p w:rsidR="00A86592" w:rsidRDefault="00FE4A46">
      <w:pPr>
        <w:jc w:val="both"/>
        <w:rPr>
          <w:sz w:val="28"/>
          <w:szCs w:val="28"/>
        </w:rPr>
      </w:pPr>
      <w:r>
        <w:rPr>
          <w:sz w:val="28"/>
          <w:szCs w:val="28"/>
        </w:rPr>
        <w:t>6.7. Все приложения к настоящим Условиям являются их неотъемлемой частью.</w:t>
      </w:r>
    </w:p>
    <w:p w:rsidR="00A86592" w:rsidRDefault="00FE4A46">
      <w:pPr>
        <w:jc w:val="both"/>
        <w:rPr>
          <w:sz w:val="28"/>
          <w:szCs w:val="28"/>
        </w:rPr>
      </w:pPr>
      <w:r>
        <w:rPr>
          <w:sz w:val="28"/>
          <w:szCs w:val="28"/>
        </w:rPr>
        <w:t>6.8. Во всем остальном, что не предусмотрено настоящими условиями, Стороны руководствуются действующим законодательством Российской Федерации.</w:t>
      </w:r>
    </w:p>
    <w:p w:rsidR="00A86592" w:rsidRDefault="00A86592">
      <w:pPr>
        <w:jc w:val="both"/>
        <w:rPr>
          <w:b/>
          <w:sz w:val="28"/>
          <w:szCs w:val="28"/>
        </w:rPr>
      </w:pPr>
    </w:p>
    <w:sectPr w:rsidR="00A86592">
      <w:footerReference w:type="default" r:id="rId7"/>
      <w:pgSz w:w="11906" w:h="16838"/>
      <w:pgMar w:top="426" w:right="707" w:bottom="776" w:left="851"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987" w:rsidRDefault="00491987">
      <w:r>
        <w:separator/>
      </w:r>
    </w:p>
  </w:endnote>
  <w:endnote w:type="continuationSeparator" w:id="0">
    <w:p w:rsidR="00491987" w:rsidRDefault="0049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ingFang S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Sans Serif;Arial">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92" w:rsidRDefault="00FE4A46">
    <w:pPr>
      <w:pStyle w:val="ad"/>
      <w:ind w:right="360"/>
    </w:pPr>
    <w:r>
      <w:rPr>
        <w:noProof/>
        <w:lang w:eastAsia="ru-RU"/>
      </w:rPr>
      <mc:AlternateContent>
        <mc:Choice Requires="wps">
          <w:drawing>
            <wp:anchor distT="0" distB="0" distL="0" distR="0" simplePos="0" relativeHeight="5" behindDoc="0" locked="0" layoutInCell="0" allowOverlap="1">
              <wp:simplePos x="0" y="0"/>
              <wp:positionH relativeFrom="margin">
                <wp:align>right</wp:align>
              </wp:positionH>
              <wp:positionV relativeFrom="paragraph">
                <wp:posOffset>635</wp:posOffset>
              </wp:positionV>
              <wp:extent cx="64135" cy="146685"/>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rsidR="00A86592" w:rsidRDefault="00FE4A46">
                          <w:pPr>
                            <w:pStyle w:val="ad"/>
                            <w:rPr>
                              <w:rStyle w:val="a3"/>
                            </w:rPr>
                          </w:pPr>
                          <w:r>
                            <w:rPr>
                              <w:rStyle w:val="a3"/>
                            </w:rPr>
                            <w:fldChar w:fldCharType="begin"/>
                          </w:r>
                          <w:r>
                            <w:rPr>
                              <w:rStyle w:val="a3"/>
                            </w:rPr>
                            <w:instrText xml:space="preserve"> PAGE </w:instrText>
                          </w:r>
                          <w:r>
                            <w:rPr>
                              <w:rStyle w:val="a3"/>
                            </w:rPr>
                            <w:fldChar w:fldCharType="separate"/>
                          </w:r>
                          <w:r w:rsidR="00491987">
                            <w:rPr>
                              <w:rStyle w:val="a3"/>
                              <w:noProof/>
                            </w:rPr>
                            <w:t>1</w:t>
                          </w:r>
                          <w:r>
                            <w:rPr>
                              <w:rStyle w:val="a3"/>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46.15pt;margin-top:.05pt;width:5.05pt;height:11.55pt;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" o:allowincell="f" stroked="f">
              <v:fill opacity="0"/>
              <v:textbox inset="0,0,0,0">
                <w:txbxContent>
                  <w:p w:rsidR="00A86592" w:rsidRDefault="00FE4A46">
                    <w:pPr>
                      <w:pStyle w:val="ad"/>
                      <w:rPr>
                        <w:rStyle w:val="a3"/>
                      </w:rPr>
                    </w:pPr>
                    <w:r>
                      <w:rPr>
                        <w:rStyle w:val="a3"/>
                      </w:rPr>
                      <w:fldChar w:fldCharType="begin"/>
                    </w:r>
                    <w:r>
                      <w:rPr>
                        <w:rStyle w:val="a3"/>
                      </w:rPr>
                      <w:instrText xml:space="preserve"> PAGE </w:instrText>
                    </w:r>
                    <w:r>
                      <w:rPr>
                        <w:rStyle w:val="a3"/>
                      </w:rPr>
                      <w:fldChar w:fldCharType="separate"/>
                    </w:r>
                    <w:r w:rsidR="00491987">
                      <w:rPr>
                        <w:rStyle w:val="a3"/>
                        <w:noProof/>
                      </w:rPr>
                      <w:t>1</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987" w:rsidRDefault="00491987">
      <w:r>
        <w:separator/>
      </w:r>
    </w:p>
  </w:footnote>
  <w:footnote w:type="continuationSeparator" w:id="0">
    <w:p w:rsidR="00491987" w:rsidRDefault="00491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D52F9"/>
    <w:multiLevelType w:val="multilevel"/>
    <w:tmpl w:val="AA68FA08"/>
    <w:lvl w:ilvl="0">
      <w:start w:val="4"/>
      <w:numFmt w:val="decimal"/>
      <w:pStyle w:val="5"/>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2B7F1F"/>
    <w:multiLevelType w:val="multilevel"/>
    <w:tmpl w:val="46047FC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92"/>
    <w:rsid w:val="00491987"/>
    <w:rsid w:val="008B2A7C"/>
    <w:rsid w:val="00984E15"/>
    <w:rsid w:val="00A86592"/>
    <w:rsid w:val="00BE7362"/>
    <w:rsid w:val="00FE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93FB5-9BD9-41DC-BFC9-BFD8D27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ongti SC" w:hAnsi="Times New Roman" w:cs="Arial Unicode MS"/>
        <w:sz w:val="28"/>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0"/>
      <w:szCs w:val="20"/>
      <w:lang w:bidi="ar-SA"/>
    </w:r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outlineLvl w:val="1"/>
    </w:pPr>
    <w:rPr>
      <w:b/>
      <w:sz w:val="22"/>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28"/>
    </w:rPr>
  </w:style>
  <w:style w:type="paragraph" w:styleId="5">
    <w:name w:val="heading 5"/>
    <w:basedOn w:val="a"/>
    <w:next w:val="a"/>
    <w:qFormat/>
    <w:pPr>
      <w:keepNext/>
      <w:numPr>
        <w:numId w:val="2"/>
      </w:numPr>
      <w:jc w:val="center"/>
      <w:outlineLvl w:val="4"/>
    </w:pPr>
    <w:rPr>
      <w:b/>
      <w:sz w:val="22"/>
    </w:rPr>
  </w:style>
  <w:style w:type="paragraph" w:styleId="6">
    <w:name w:val="heading 6"/>
    <w:basedOn w:val="a"/>
    <w:next w:val="a"/>
    <w:qFormat/>
    <w:pPr>
      <w:keepNext/>
      <w:numPr>
        <w:ilvl w:val="5"/>
        <w:numId w:val="1"/>
      </w:numPr>
      <w:jc w:val="center"/>
      <w:outlineLvl w:val="5"/>
    </w:pPr>
    <w:rPr>
      <w:b/>
      <w:sz w:val="22"/>
    </w:rPr>
  </w:style>
  <w:style w:type="paragraph" w:styleId="7">
    <w:name w:val="heading 7"/>
    <w:basedOn w:val="a"/>
    <w:next w:val="a"/>
    <w:qFormat/>
    <w:pPr>
      <w:keepNext/>
      <w:numPr>
        <w:ilvl w:val="6"/>
        <w:numId w:val="1"/>
      </w:numPr>
      <w:jc w:val="both"/>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rPr>
      <w:rFonts w:ascii="Times New Roman" w:eastAsia="Times New Roman" w:hAnsi="Times New Roman" w:cs="Times New Roman"/>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b/>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rPr>
      <w:b/>
    </w:rPr>
  </w:style>
  <w:style w:type="character" w:customStyle="1" w:styleId="WW8Num12z0">
    <w:name w:val="WW8Num12z0"/>
    <w:qFormat/>
  </w:style>
  <w:style w:type="character" w:customStyle="1" w:styleId="WW8Num13z0">
    <w:name w:val="WW8Num13z0"/>
    <w:qFormat/>
    <w:rPr>
      <w:b/>
    </w:rPr>
  </w:style>
  <w:style w:type="character" w:customStyle="1" w:styleId="WW8Num14z0">
    <w:name w:val="WW8Num14z0"/>
    <w:qFormat/>
  </w:style>
  <w:style w:type="character" w:customStyle="1" w:styleId="WW8Num14z1">
    <w:name w:val="WW8Num14z1"/>
    <w:qFormat/>
    <w:rPr>
      <w:rFonts w:ascii="Times New Roman" w:eastAsia="Times New Roman" w:hAnsi="Times New Roman" w:cs="Times New Roman"/>
    </w:rPr>
  </w:style>
  <w:style w:type="character" w:customStyle="1" w:styleId="WW8Num15z0">
    <w:name w:val="WW8Num15z0"/>
    <w:qFormat/>
  </w:style>
  <w:style w:type="character" w:customStyle="1" w:styleId="WW8Num16z0">
    <w:name w:val="WW8Num16z0"/>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b/>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style>
  <w:style w:type="character" w:customStyle="1" w:styleId="WW8Num24z1">
    <w:name w:val="WW8Num24z1"/>
    <w:qFormat/>
    <w:rPr>
      <w:b/>
    </w:rPr>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8z0">
    <w:name w:val="WW8Num28z0"/>
    <w:qFormat/>
  </w:style>
  <w:style w:type="character" w:customStyle="1" w:styleId="WW8Num29z0">
    <w:name w:val="WW8Num29z0"/>
    <w:qFormat/>
  </w:style>
  <w:style w:type="character" w:customStyle="1" w:styleId="WW8Num30z0">
    <w:name w:val="WW8Num30z0"/>
    <w:qFormat/>
    <w:rPr>
      <w:b/>
    </w:rPr>
  </w:style>
  <w:style w:type="character" w:customStyle="1" w:styleId="WW8Num31z0">
    <w:name w:val="WW8Num31z0"/>
    <w:qFormat/>
  </w:style>
  <w:style w:type="character" w:customStyle="1" w:styleId="WW8Num33z0">
    <w:name w:val="WW8Num33z0"/>
    <w:qFormat/>
  </w:style>
  <w:style w:type="character" w:customStyle="1" w:styleId="WW8Num34z0">
    <w:name w:val="WW8Num34z0"/>
    <w:qFormat/>
    <w:rPr>
      <w:b/>
    </w:rPr>
  </w:style>
  <w:style w:type="character" w:customStyle="1" w:styleId="WW8Num35z0">
    <w:name w:val="WW8Num35z0"/>
    <w:qFormat/>
  </w:style>
  <w:style w:type="character" w:customStyle="1" w:styleId="WW8Num36z0">
    <w:name w:val="WW8Num36z0"/>
    <w:qFormat/>
    <w:rPr>
      <w:b/>
    </w:rPr>
  </w:style>
  <w:style w:type="character" w:customStyle="1" w:styleId="WW8Num37z0">
    <w:name w:val="WW8Num37z0"/>
    <w:qFormat/>
    <w:rPr>
      <w:rFonts w:ascii="Times New Roman" w:eastAsia="Times New Roman" w:hAnsi="Times New Roman" w:cs="Times New Roman"/>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style>
  <w:style w:type="character" w:customStyle="1" w:styleId="WW8Num39z0">
    <w:name w:val="WW8Num39z0"/>
    <w:qFormat/>
    <w:rPr>
      <w:rFonts w:ascii="Times New Roman" w:eastAsia="Times New Roman" w:hAnsi="Times New Roman" w:cs="Times New Roman"/>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0z1">
    <w:name w:val="WW8Num40z1"/>
    <w:qFormat/>
    <w:rPr>
      <w:b/>
    </w:rPr>
  </w:style>
  <w:style w:type="character" w:customStyle="1" w:styleId="WW8Num41z0">
    <w:name w:val="WW8Num41z0"/>
    <w:qFormat/>
  </w:style>
  <w:style w:type="character" w:customStyle="1" w:styleId="WW8Num41z1">
    <w:name w:val="WW8Num41z1"/>
    <w:qFormat/>
    <w:rPr>
      <w:b/>
    </w:rPr>
  </w:style>
  <w:style w:type="character" w:customStyle="1" w:styleId="WW8Num42z0">
    <w:name w:val="WW8Num42z0"/>
    <w:qFormat/>
  </w:style>
  <w:style w:type="character" w:styleId="a3">
    <w:name w:val="page number"/>
    <w:basedOn w:val="a0"/>
  </w:style>
  <w:style w:type="character" w:styleId="a4">
    <w:name w:val="Hyperlink"/>
    <w:rPr>
      <w:color w:val="0563C1"/>
      <w:u w:val="single"/>
    </w:rPr>
  </w:style>
  <w:style w:type="paragraph" w:customStyle="1" w:styleId="a5">
    <w:name w:val="Заголовок"/>
    <w:basedOn w:val="a"/>
    <w:next w:val="a6"/>
    <w:qFormat/>
    <w:pPr>
      <w:keepNext/>
      <w:spacing w:before="240" w:after="120"/>
    </w:pPr>
    <w:rPr>
      <w:rFonts w:eastAsia="PingFang SC" w:cs="Arial Unicode MS"/>
      <w:sz w:val="28"/>
      <w:szCs w:val="28"/>
    </w:rPr>
  </w:style>
  <w:style w:type="paragraph" w:styleId="a6">
    <w:name w:val="Body Text"/>
    <w:basedOn w:val="a"/>
    <w:rPr>
      <w:sz w:val="22"/>
    </w:rPr>
  </w:style>
  <w:style w:type="paragraph" w:styleId="a7">
    <w:name w:val="List"/>
    <w:basedOn w:val="a6"/>
    <w:rPr>
      <w:rFonts w:cs="Arial Unicode MS"/>
      <w:sz w:val="24"/>
    </w:rPr>
  </w:style>
  <w:style w:type="paragraph" w:styleId="a8">
    <w:name w:val="caption"/>
    <w:basedOn w:val="a"/>
    <w:qFormat/>
    <w:pPr>
      <w:suppressLineNumbers/>
      <w:spacing w:before="120" w:after="120"/>
    </w:pPr>
    <w:rPr>
      <w:rFonts w:cs="Arial Unicode MS"/>
      <w:i/>
      <w:iCs/>
      <w:sz w:val="24"/>
      <w:szCs w:val="24"/>
    </w:rPr>
  </w:style>
  <w:style w:type="paragraph" w:styleId="a9">
    <w:name w:val="index heading"/>
    <w:basedOn w:val="a"/>
    <w:qFormat/>
    <w:pPr>
      <w:suppressLineNumbers/>
    </w:pPr>
    <w:rPr>
      <w:rFonts w:cs="Arial Unicode MS"/>
      <w:sz w:val="24"/>
    </w:rPr>
  </w:style>
  <w:style w:type="paragraph" w:styleId="20">
    <w:name w:val="Body Text 2"/>
    <w:basedOn w:val="a"/>
    <w:qFormat/>
    <w:pPr>
      <w:jc w:val="center"/>
    </w:pPr>
    <w:rPr>
      <w:sz w:val="24"/>
    </w:rPr>
  </w:style>
  <w:style w:type="paragraph" w:styleId="aa">
    <w:name w:val="Body Text Indent"/>
    <w:basedOn w:val="a"/>
    <w:pPr>
      <w:ind w:left="4320"/>
      <w:jc w:val="center"/>
    </w:pPr>
    <w:rPr>
      <w:sz w:val="24"/>
    </w:rPr>
  </w:style>
  <w:style w:type="paragraph" w:styleId="21">
    <w:name w:val="Body Text Indent 2"/>
    <w:basedOn w:val="a"/>
    <w:qFormat/>
    <w:pPr>
      <w:ind w:left="450" w:hanging="450"/>
      <w:jc w:val="both"/>
    </w:pPr>
    <w:rPr>
      <w:sz w:val="22"/>
    </w:rPr>
  </w:style>
  <w:style w:type="paragraph" w:styleId="30">
    <w:name w:val="Body Text Indent 3"/>
    <w:basedOn w:val="a"/>
    <w:qFormat/>
    <w:pPr>
      <w:ind w:left="480"/>
      <w:jc w:val="both"/>
    </w:pPr>
    <w:rPr>
      <w:sz w:val="22"/>
    </w:rPr>
  </w:style>
  <w:style w:type="paragraph" w:styleId="ab">
    <w:name w:val="Balloon Text"/>
    <w:basedOn w:val="a"/>
    <w:qFormat/>
    <w:rPr>
      <w:rFonts w:ascii="Tahoma" w:hAnsi="Tahoma" w:cs="Tahoma"/>
      <w:sz w:val="16"/>
      <w:szCs w:val="16"/>
    </w:rPr>
  </w:style>
  <w:style w:type="paragraph" w:styleId="31">
    <w:name w:val="Body Text 3"/>
    <w:basedOn w:val="a"/>
    <w:qFormat/>
    <w:rPr>
      <w:sz w:val="24"/>
      <w:szCs w:val="24"/>
    </w:rPr>
  </w:style>
  <w:style w:type="paragraph" w:customStyle="1" w:styleId="10">
    <w:name w:val="Стиль1"/>
    <w:qFormat/>
    <w:rPr>
      <w:rFonts w:ascii="MS Sans Serif;Arial" w:eastAsia="Times New Roman" w:hAnsi="MS Sans Serif;Arial" w:cs="MS Sans Serif;Arial"/>
      <w:sz w:val="20"/>
      <w:szCs w:val="20"/>
      <w:lang w:val="en-US" w:bidi="ar-SA"/>
    </w:rPr>
  </w:style>
  <w:style w:type="paragraph" w:customStyle="1" w:styleId="ac">
    <w:name w:val="Колонтитул"/>
    <w:basedOn w:val="a"/>
    <w:qFormat/>
    <w:pPr>
      <w:suppressLineNumbers/>
      <w:tabs>
        <w:tab w:val="center" w:pos="4819"/>
        <w:tab w:val="right" w:pos="9638"/>
      </w:tabs>
    </w:pPr>
  </w:style>
  <w:style w:type="paragraph" w:styleId="ad">
    <w:name w:val="footer"/>
    <w:basedOn w:val="a"/>
    <w:pPr>
      <w:tabs>
        <w:tab w:val="center" w:pos="4677"/>
        <w:tab w:val="right" w:pos="9355"/>
      </w:tabs>
    </w:pPr>
  </w:style>
  <w:style w:type="paragraph" w:styleId="ae">
    <w:name w:val="List Paragraph"/>
    <w:basedOn w:val="a"/>
    <w:qFormat/>
    <w:pPr>
      <w:spacing w:after="160" w:line="256" w:lineRule="auto"/>
      <w:ind w:left="720"/>
      <w:contextualSpacing/>
    </w:pPr>
    <w:rPr>
      <w:rFonts w:ascii="Calibri" w:eastAsia="Calibri" w:hAnsi="Calibri" w:cs="Calibri"/>
      <w:sz w:val="22"/>
      <w:szCs w:val="22"/>
    </w:rPr>
  </w:style>
  <w:style w:type="paragraph" w:customStyle="1" w:styleId="af">
    <w:name w:val="Содержимое таблицы"/>
    <w:basedOn w:val="a"/>
    <w:qFormat/>
    <w:pPr>
      <w:widowControl w:val="0"/>
      <w:suppressLineNumbers/>
    </w:pPr>
  </w:style>
  <w:style w:type="paragraph" w:customStyle="1" w:styleId="af0">
    <w:name w:val="Заголовок таблицы"/>
    <w:basedOn w:val="af"/>
    <w:qFormat/>
    <w:pPr>
      <w:jc w:val="center"/>
    </w:pPr>
    <w:rPr>
      <w:b/>
      <w:bCs/>
    </w:rPr>
  </w:style>
  <w:style w:type="paragraph" w:customStyle="1" w:styleId="af1">
    <w:name w:val="Содержимое врез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Договор о предоставлении земельного участка</vt:lpstr>
    </vt:vector>
  </TitlesOfParts>
  <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предоставлении земельного участка</dc:title>
  <dc:subject/>
  <dc:creator>U01</dc:creator>
  <cp:keywords/>
  <dc:description/>
  <cp:lastModifiedBy>Софронюк Татьяна Dalk Orel</cp:lastModifiedBy>
  <cp:revision>28</cp:revision>
  <cp:lastPrinted>2024-01-16T10:16:00Z</cp:lastPrinted>
  <dcterms:created xsi:type="dcterms:W3CDTF">2022-04-09T19:59:00Z</dcterms:created>
  <dcterms:modified xsi:type="dcterms:W3CDTF">2024-01-16T10:21:00Z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Комментарии">
    <vt:lpwstr>Предоплата на СВХ ООО ДАЛК г.Орел</vt:lpwstr>
  </property>
</Properties>
</file>